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A395" w14:textId="77777777" w:rsidR="001632AF" w:rsidRDefault="001632AF">
      <w:pPr>
        <w:rPr>
          <w:lang w:val="kk-KZ"/>
        </w:rPr>
      </w:pPr>
    </w:p>
    <w:p w14:paraId="7F4C0AD5" w14:textId="77777777" w:rsidR="00BB7C00" w:rsidRPr="00F8327A" w:rsidRDefault="00BB7C00" w:rsidP="00BB7C00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8327A">
        <w:rPr>
          <w:rFonts w:ascii="Times New Roman" w:hAnsi="Times New Roman" w:cs="Times New Roman"/>
          <w:sz w:val="28"/>
          <w:szCs w:val="28"/>
          <w:lang w:val="kk-KZ"/>
        </w:rPr>
        <w:t xml:space="preserve">3 Дәріс </w:t>
      </w:r>
      <w:r w:rsidRPr="00F8327A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 басқару жүйесіндегі дағдарыс</w:t>
      </w:r>
    </w:p>
    <w:p w14:paraId="23487C6D" w14:textId="77777777" w:rsidR="00BB7C00" w:rsidRPr="00F8327A" w:rsidRDefault="00BB7C00" w:rsidP="00BB7C00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8327A">
        <w:rPr>
          <w:rFonts w:ascii="Times New Roman" w:hAnsi="Times New Roman" w:cs="Times New Roman"/>
          <w:sz w:val="28"/>
          <w:szCs w:val="28"/>
          <w:lang w:val="kk-KZ" w:eastAsia="ar-SA"/>
        </w:rPr>
        <w:t>Сұрақтар:</w:t>
      </w:r>
    </w:p>
    <w:p w14:paraId="2EDA1C91" w14:textId="77777777" w:rsidR="00BB7C00" w:rsidRPr="00F8327A" w:rsidRDefault="00BB7C00" w:rsidP="00BB7C00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327A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 басқару жүйесіндегі дағдарыс</w:t>
      </w:r>
    </w:p>
    <w:p w14:paraId="0086BEA5" w14:textId="77777777" w:rsidR="00BB7C00" w:rsidRPr="00F8327A" w:rsidRDefault="00BB7C00" w:rsidP="00BB7C00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327A">
        <w:rPr>
          <w:rFonts w:ascii="Times New Roman" w:hAnsi="Times New Roman" w:cs="Times New Roman"/>
          <w:sz w:val="28"/>
          <w:szCs w:val="28"/>
          <w:lang w:val="kk-KZ" w:eastAsia="ar-SA"/>
        </w:rPr>
        <w:t>Дағдарыс жүйесінің ерекшеліктері</w:t>
      </w:r>
    </w:p>
    <w:p w14:paraId="4C4C7CDC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Мемлекеттің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экономикамен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функциялары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:</w:t>
      </w:r>
    </w:p>
    <w:p w14:paraId="2D5ED140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нормативті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544F5A73" w14:textId="7334C6CE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>- клиент (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мемлекет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ұлттық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экономика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німдерін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тапсырыс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беруші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сатып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алушы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ретінде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әрекет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еткен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кезде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);</w:t>
      </w:r>
    </w:p>
    <w:p w14:paraId="034DDFD2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мүлік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5D90404C" w14:textId="20AA767C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қаржылық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лу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01FF889F" w14:textId="1EB37FB4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>;</w:t>
      </w:r>
    </w:p>
    <w:p w14:paraId="4328DA2F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жоспарлы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болжам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11470D2E" w14:textId="4015C3B0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ресурстарды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лу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6DD1487E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үйлестіру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10D6FF1D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лицензиялық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2305C065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бақылау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2EB2B9C2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инвестициялық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технологиялық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198D23DE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сертификаттауды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стандарттау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56A5ADB3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адам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құқығы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2D0592C1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қорғаныс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49DBD113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қоршаған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ортаны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қорғау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10F0B360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медициналық-санитарлық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7D1E2BCF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мотивациялық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насихат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.</w:t>
      </w:r>
    </w:p>
    <w:p w14:paraId="1960DF83" w14:textId="285DE5F1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F8327A">
        <w:rPr>
          <w:rFonts w:ascii="Times New Roman" w:hAnsi="Times New Roman" w:cs="Times New Roman"/>
          <w:sz w:val="36"/>
          <w:szCs w:val="36"/>
        </w:rPr>
        <w:lastRenderedPageBreak/>
        <w:t>Бұл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функцияларды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белгілі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үйлесімде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іске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асыруы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мемлекеттік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басқару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жүйесінің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дағдарыстарының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туындау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мүмкіндігін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қамтамасыз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етеді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.</w:t>
      </w:r>
    </w:p>
    <w:p w14:paraId="24A4BB37" w14:textId="6B42D2B3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Мемлекеттік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басқару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жүйесіндегі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згерістер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сәтті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болуы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барынша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F8327A"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пшілік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қолдау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қажет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. Ол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саясаткерлер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екі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тәуелсіз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бірақ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зара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міндеттерді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шешуді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үйренуі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керек: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қоғамдық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пікірді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зерттеп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бірге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оны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қалыптастыру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Саяси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жұмыс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екі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параллельді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процесті</w:t>
      </w:r>
      <w:proofErr w:type="spellEnd"/>
    </w:p>
    <w:p w14:paraId="1B12C12F" w14:textId="77777777" w:rsid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қамтиды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5EAEFCDA" w14:textId="7D9A1489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1) мемлекеттік саясат және оны ілгерілету туралы халықты</w:t>
      </w:r>
    </w:p>
    <w:p w14:paraId="67312F20" w14:textId="77777777" w:rsid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ақпараттандыру;</w:t>
      </w:r>
    </w:p>
    <w:p w14:paraId="4B62EE4C" w14:textId="6A7A0C27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 xml:space="preserve"> 2) саясаткерлерді сайлаушылардың пікірі туралы хабардар</w:t>
      </w:r>
    </w:p>
    <w:p w14:paraId="5AA77A11" w14:textId="7EF76593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ету. Қоғамдық қатынастарды күшейту саясатты дамыту процесінің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лігі болуы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керек.</w:t>
      </w:r>
    </w:p>
    <w:p w14:paraId="2D41B3DC" w14:textId="420140F9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Әкімшілік процесс үлкен саяси мәнге ие. Кез-келген мемлекеттік қызмет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рсету орнында халық мемлекетпен тікелей байланысқа түседі – азаматтардың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пшілігі үшін бұл онымен тікелей қарым-қатынастың жалғыз жағдайы.</w:t>
      </w:r>
    </w:p>
    <w:p w14:paraId="66C2C681" w14:textId="62573BDF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Заңнамалық актілерді дұрыс қолдану да маңызды мәселе болып табылады.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Бұрынғы жүйенің құқықтық мұрасы негізінен нарықтық экономикаға сәйкес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келмейді. Қолданыстағы олқылықтарды толтыру және ескірген заңнаманы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қайта қарау - кезек күттірмейтін міндет болып табылады.</w:t>
      </w:r>
    </w:p>
    <w:p w14:paraId="59462CD0" w14:textId="7EDAD8ED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Дағдарысқа қарсы мемлекеттік реттеудің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лі макро - және</w:t>
      </w:r>
    </w:p>
    <w:p w14:paraId="386BC6B6" w14:textId="1C47BCA8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микроэкономикалық дағдарыстарды еңсеруді қамтамасыз ететін мемлекет пен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нарықтық экономиканың ӛзара іс-қимылының осындай жүйесін құру болып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табылады.</w:t>
      </w:r>
    </w:p>
    <w:p w14:paraId="0492E889" w14:textId="365F841D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lastRenderedPageBreak/>
        <w:t>Дағдарысқа қарсы басқаруда мемлекет қоғамдық қатынастар жүйесіндегі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екі функцияға сәйкес келетін екі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 атқарады:</w:t>
      </w:r>
    </w:p>
    <w:p w14:paraId="12EF7709" w14:textId="4F2760EA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 xml:space="preserve"> азаматтық-құқықтық;</w:t>
      </w:r>
    </w:p>
    <w:p w14:paraId="07B64EA4" w14:textId="359A9690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 xml:space="preserve"> жариялық-құқықтық.</w:t>
      </w:r>
    </w:p>
    <w:p w14:paraId="64330073" w14:textId="644959B3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Мемлекеттің жариялық-құқықтық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лі заңнамалық реттеуді және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әкімшілік басқаруды қамтамасыз ету, салықтарды жинау, мемлекеттің қаржы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жүйесін ұйымдастыру, ұлттық валюта эмиссиясы, оның бағытын қолдау болып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табылады.</w:t>
      </w:r>
    </w:p>
    <w:p w14:paraId="32CAFD5F" w14:textId="6961EE35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Азаматтық-құқықтық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л мемлекет - бұл басқа қатысушылармен қарымқатынасқа түсетін азаматтық қатынастарға қатысушы. Атап айтқанда,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банкроттық саласында мемлекет меншік иесі, кредитор және борышкер болып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табылады.</w:t>
      </w:r>
    </w:p>
    <w:p w14:paraId="3066E3DA" w14:textId="77777777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Мемлекеттік дағдарысқа қарсы реттеу түрлерінің арасында:</w:t>
      </w:r>
    </w:p>
    <w:p w14:paraId="764000D4" w14:textId="77777777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нормативтік-заңнамалық;</w:t>
      </w:r>
    </w:p>
    <w:p w14:paraId="106CAEAB" w14:textId="77777777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қаржылық;</w:t>
      </w:r>
    </w:p>
    <w:p w14:paraId="34758E18" w14:textId="2992AB41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- мемлекеттік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 саясаты;</w:t>
      </w:r>
    </w:p>
    <w:p w14:paraId="1CD8FC7F" w14:textId="4E5DCF3A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кірістерді қайта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лу.</w:t>
      </w:r>
    </w:p>
    <w:p w14:paraId="162E620A" w14:textId="26AB999B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Мемлекеттің нормативтік-заңнамалық қызметі дағдарысқа қарсы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басқаруды жүргізу үшін құқықтық база құруды білдіреді.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Қаржылық реттеу дағдарысқа қарсы шараларды жүргізу үшін мемлекеттің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қаржылық тетіктері мен ресурстарын пайдалануды білдіреді.</w:t>
      </w:r>
    </w:p>
    <w:p w14:paraId="2B064185" w14:textId="3346DB43" w:rsidR="00BB7C00" w:rsidRPr="00BB7C00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BB7C00">
        <w:rPr>
          <w:rFonts w:ascii="Times New Roman" w:hAnsi="Times New Roman" w:cs="Times New Roman"/>
          <w:sz w:val="36"/>
          <w:szCs w:val="36"/>
          <w:lang w:val="kk-KZ"/>
        </w:rPr>
        <w:t>Реттеудің бұл түрі мемлекеттік қаржы ресурстары шоғырланатын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мемлекеттің бюджет жүйесін пайдалануға және дағдарыстық жағдайда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B7C00">
        <w:rPr>
          <w:rFonts w:ascii="Times New Roman" w:hAnsi="Times New Roman" w:cs="Times New Roman"/>
          <w:sz w:val="36"/>
          <w:szCs w:val="36"/>
          <w:lang w:val="kk-KZ"/>
        </w:rPr>
        <w:t>қаржылық қолдауды қамтамасыз етуге және дағдарыстардың теріс салдарын</w:t>
      </w:r>
    </w:p>
    <w:p w14:paraId="2A0C48E9" w14:textId="77777777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lastRenderedPageBreak/>
        <w:t>жеңілдетуге арналған бюджет саясатын жүргізуге негізделеді.</w:t>
      </w:r>
    </w:p>
    <w:p w14:paraId="3455D1F6" w14:textId="77777777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Дағдарыс жағдайындағы бюджет саясатының міндеттері:</w:t>
      </w:r>
    </w:p>
    <w:p w14:paraId="5B649080" w14:textId="77777777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экономиканы басқаруды қамтамасыз ету;</w:t>
      </w:r>
    </w:p>
    <w:p w14:paraId="2FB6734F" w14:textId="0AB9D5AE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ең т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менгі әлеуметтік қажеттіліктерді қанағаттандыруды қамтамасыз ету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және әлеуметтік шиеленісті жеңілдету, оның ішінде жүргізіліп жатқан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реформалар барысында;</w:t>
      </w:r>
    </w:p>
    <w:p w14:paraId="7749B8CC" w14:textId="450662E0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- бюджетаралық қатынастар жүйесін жетілдіру есебінен әртүрлі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аумақтардағы әлеуметтік-экономикалық даму деңгейлерін теңестіру.</w:t>
      </w:r>
    </w:p>
    <w:p w14:paraId="4CDFAD00" w14:textId="62F4DA63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Бұдан басқа, бюджет саясаты қоғамды экономикалық реформалау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міндеттерін шешудің құралы болып табылады.</w:t>
      </w:r>
    </w:p>
    <w:p w14:paraId="497933C6" w14:textId="75D695EC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Мемлекеттік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неркәсіптік саясат болашақ кезеңдердегі жағдайды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болжауды,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неркәсіптік дамудың негізгі басымдықтарын айқындауды және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реформаларды жылдам жылжыту үшін инвестициялық бағдарламаларды</w:t>
      </w:r>
    </w:p>
    <w:p w14:paraId="7F19CB08" w14:textId="5534DA3C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ынталандыруға, тиімсіз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ндірістерді қысқартуға және (немесе) жоюға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мүмкіндік беретін шараларды әзірлеуді білдіреді.</w:t>
      </w:r>
    </w:p>
    <w:p w14:paraId="5480BE36" w14:textId="41CE5F9F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Дағдарысқа қарсы мемлекеттік реттеу міндеттерінде мемлекеттік меншік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басымдық болып табылмайды. Басымдылық – меншіктің кез келген түрінде</w:t>
      </w:r>
    </w:p>
    <w:p w14:paraId="38E8C67D" w14:textId="493234D2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тиімді жұмысы.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неркәсіптік дамудың белгілі бір бағытын қаржыландыру үшін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капиталдың қандай нысаны пайдаланылатыны маңызды емес, ол қаншалықты</w:t>
      </w:r>
    </w:p>
    <w:p w14:paraId="55138B44" w14:textId="77777777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>тиімді пайдаланылатыны маңызды.</w:t>
      </w:r>
    </w:p>
    <w:p w14:paraId="69D29215" w14:textId="61F88F3D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Мемлекеттік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 саясатының негізгі белгілері:</w:t>
      </w:r>
    </w:p>
    <w:p w14:paraId="4E3B1C6D" w14:textId="0757DC62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lastRenderedPageBreak/>
        <w:t>- «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су нүктелерін» -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неркәсіптік дамудың басым бағыттарын анықтау;</w:t>
      </w:r>
    </w:p>
    <w:p w14:paraId="4CBE518C" w14:textId="4A6FE030" w:rsidR="00BB7C00" w:rsidRPr="006C3978" w:rsidRDefault="00BB7C00" w:rsidP="00BB7C0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C3978">
        <w:rPr>
          <w:rFonts w:ascii="Times New Roman" w:hAnsi="Times New Roman" w:cs="Times New Roman"/>
          <w:sz w:val="36"/>
          <w:szCs w:val="36"/>
          <w:lang w:val="kk-KZ"/>
        </w:rPr>
        <w:t xml:space="preserve">-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6C3978">
        <w:rPr>
          <w:rFonts w:ascii="Times New Roman" w:hAnsi="Times New Roman" w:cs="Times New Roman"/>
          <w:sz w:val="36"/>
          <w:szCs w:val="36"/>
          <w:lang w:val="kk-KZ"/>
        </w:rPr>
        <w:t>су нүктелерін дамыту (тамақтану) үшін ресурстарды қалыптастыру;</w:t>
      </w:r>
    </w:p>
    <w:p w14:paraId="3C4B3A6E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жеке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капиталды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тарту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жағдай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жасау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2D0D6E3F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конкурстық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негізде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инвестициялық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бағдарламаларға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қатысушыларды</w:t>
      </w:r>
      <w:proofErr w:type="spellEnd"/>
    </w:p>
    <w:p w14:paraId="774B2A05" w14:textId="77777777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іріктеу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76225C1D" w14:textId="147D7CE0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инвестициялық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бағдарламаларды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іске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асыруды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мемлекеттік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реттеу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бақылаудың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тиімді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тетіктерін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құру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.</w:t>
      </w:r>
    </w:p>
    <w:p w14:paraId="45F67DC9" w14:textId="016A6CD2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Кірістерді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лу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экономиканың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үдемелі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дамуы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мақсатында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халықтың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түрлі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топтары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топтарын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қорғауды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қамтамасыз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етуді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білдіреді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.</w:t>
      </w:r>
    </w:p>
    <w:p w14:paraId="7A871A46" w14:textId="4AF0FB3B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Мемлекет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ең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т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менгі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пакетке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  <w:lang w:val="kk-KZ"/>
        </w:rPr>
        <w:t>республикалық</w:t>
      </w:r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бюджеттен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қаржыландырылатын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әлеуметтік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стандарт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кепілдік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беруі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тиіс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жүзеге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асырылады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кірістердің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лігін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алып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қоюға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:</w:t>
      </w:r>
    </w:p>
    <w:p w14:paraId="447E8E42" w14:textId="3884F30A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халықтың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бай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жіктерін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лу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халықтың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неғұрлым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кедей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жіктерінің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пайдасына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лу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;</w:t>
      </w:r>
    </w:p>
    <w:p w14:paraId="4624523E" w14:textId="2E587F66" w:rsidR="00BB7C00" w:rsidRPr="00F8327A" w:rsidRDefault="00BB7C00" w:rsidP="00BB7C00">
      <w:pPr>
        <w:jc w:val="both"/>
        <w:rPr>
          <w:rFonts w:ascii="Times New Roman" w:hAnsi="Times New Roman" w:cs="Times New Roman"/>
          <w:sz w:val="36"/>
          <w:szCs w:val="36"/>
        </w:rPr>
      </w:pPr>
      <w:r w:rsidRPr="00F8327A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жоғары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табысты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ңірлер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оларды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дотациялық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пайдасына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қайта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proofErr w:type="spellStart"/>
      <w:r w:rsidRPr="00F8327A">
        <w:rPr>
          <w:rFonts w:ascii="Times New Roman" w:hAnsi="Times New Roman" w:cs="Times New Roman"/>
          <w:sz w:val="36"/>
          <w:szCs w:val="36"/>
        </w:rPr>
        <w:t>лу</w:t>
      </w:r>
      <w:proofErr w:type="spellEnd"/>
      <w:r w:rsidRPr="00F8327A">
        <w:rPr>
          <w:rFonts w:ascii="Times New Roman" w:hAnsi="Times New Roman" w:cs="Times New Roman"/>
          <w:sz w:val="36"/>
          <w:szCs w:val="36"/>
        </w:rPr>
        <w:t>.</w:t>
      </w:r>
    </w:p>
    <w:p w14:paraId="4334C2C3" w14:textId="77777777" w:rsidR="006C3978" w:rsidRPr="006C3978" w:rsidRDefault="006C3978" w:rsidP="006C3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A20790C" w14:textId="77777777" w:rsidR="006C3978" w:rsidRPr="006C3978" w:rsidRDefault="006C3978" w:rsidP="006C3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6C39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6C397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2AD0A2C5" w14:textId="77777777" w:rsidR="006C3978" w:rsidRPr="006C3978" w:rsidRDefault="006C3978" w:rsidP="006C397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C397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21011824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207D5E0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41A4C013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6869809A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32777CC5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2CFA6FD4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Домалатов Е.Б. Дағдарысқа қарсы басқару -Өскемен, 2020-115 б.</w:t>
      </w:r>
    </w:p>
    <w:p w14:paraId="1EA0DED3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6C3978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lastRenderedPageBreak/>
        <w:t>Жатқанбаев Е.Б., Бимендиева Л.А., Даулиева Ғ.Р. және басқалар Экономикалық теория-</w:t>
      </w:r>
      <w:bookmarkStart w:id="0" w:name="_Hlk204700105"/>
      <w:r w:rsidRPr="006C3978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Алматы: Қазақ университеті, 2025.-472 б.</w:t>
      </w:r>
    </w:p>
    <w:bookmarkEnd w:id="0"/>
    <w:p w14:paraId="1C911115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6C3978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04491099" w14:textId="77777777" w:rsidR="006C3978" w:rsidRPr="006C3978" w:rsidRDefault="006C3978" w:rsidP="006C3978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Зуб А. Т. Кризисный менеджмент-Санкт-Петербург: Питер,  2024.-304 с</w:t>
      </w:r>
    </w:p>
    <w:p w14:paraId="020E7961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00532FC5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Коротков, Э. М.  Антикризисное управление – М.: Юрайт, 2025. -406 с</w:t>
      </w:r>
    </w:p>
    <w:p w14:paraId="125C4E85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– М</w:t>
      </w:r>
      <w:r w:rsidRPr="006C3978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6C397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6C3978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6C3978">
        <w:rPr>
          <w:rFonts w:ascii="Times New Roman" w:hAnsi="Times New Roman" w:cs="Times New Roman"/>
          <w:sz w:val="20"/>
          <w:szCs w:val="20"/>
        </w:rPr>
        <w:t>, 202</w:t>
      </w:r>
      <w:r w:rsidRPr="006C3978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6C3978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7A3D0665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122B4894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2024-440 с.</w:t>
      </w:r>
    </w:p>
    <w:p w14:paraId="218C2138" w14:textId="77777777" w:rsidR="006C3978" w:rsidRPr="006C3978" w:rsidRDefault="006C3978" w:rsidP="006C397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6C397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6C3978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6C3978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17E337D0" w14:textId="77777777" w:rsidR="006C3978" w:rsidRPr="006C3978" w:rsidRDefault="006C3978" w:rsidP="006C397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02E0F192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0AA01AB3" w14:textId="77777777" w:rsidR="006C3978" w:rsidRPr="006C3978" w:rsidRDefault="006C3978" w:rsidP="006C3978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B2D0266" w14:textId="77777777" w:rsidR="006C3978" w:rsidRPr="006C3978" w:rsidRDefault="006C3978" w:rsidP="006C3978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48C1C475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Ряховская А.Н.,  Кован С.Е., Акулова Н.Г. и др. Антикризисное управление: теория и практика-М.: КноРус, 2025.- 378 с.</w:t>
      </w:r>
    </w:p>
    <w:p w14:paraId="4C9A9D03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6C3978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62865421" w14:textId="77777777" w:rsidR="006C3978" w:rsidRPr="006C3978" w:rsidRDefault="006C3978" w:rsidP="006C3978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  <w:r w:rsidRPr="006C3978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6C3978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МГИМОУниверситет</w:t>
      </w:r>
      <w:proofErr w:type="spellEnd"/>
      <w:r w:rsidRPr="006C3978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2020 - 169</w:t>
      </w:r>
    </w:p>
    <w:p w14:paraId="5656603C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4AB6CD5D" w14:textId="77777777" w:rsidR="006C3978" w:rsidRPr="006C3978" w:rsidRDefault="006C3978" w:rsidP="006C39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61F15461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23F0727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7020496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376C8C9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F018CC6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9828C41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04B6B10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857094C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E0C8332" w14:textId="77777777" w:rsidR="006C3978" w:rsidRPr="006C3978" w:rsidRDefault="006C3978" w:rsidP="006C3978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41120628" w14:textId="77777777" w:rsidR="006C3978" w:rsidRPr="006C3978" w:rsidRDefault="006C3978" w:rsidP="006C3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6C39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 w:rsidRPr="006C3978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6C39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6B830312" w14:textId="77777777" w:rsidR="006C3978" w:rsidRPr="006C3978" w:rsidRDefault="006C3978" w:rsidP="006C397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6" w:history="1">
        <w:r w:rsidRPr="006C3978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6C3978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1C19C1E0" w14:textId="77777777" w:rsidR="006C3978" w:rsidRPr="006C3978" w:rsidRDefault="006C3978" w:rsidP="006C397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6C3978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232F7D6D" w14:textId="77777777" w:rsidR="006C3978" w:rsidRPr="006C3978" w:rsidRDefault="006C3978" w:rsidP="006C397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C3978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8" w:history="1">
        <w:r w:rsidRPr="006C3978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6FEB8A46" w14:textId="77777777" w:rsidR="006C3978" w:rsidRPr="006C3978" w:rsidRDefault="006C3978" w:rsidP="006C3978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C3978">
        <w:rPr>
          <w:rFonts w:ascii="Times New Roman" w:hAnsi="Times New Roman" w:cs="Times New Roman"/>
          <w:sz w:val="20"/>
          <w:szCs w:val="20"/>
          <w:lang w:val="kk-KZ"/>
        </w:rPr>
        <w:t>5. URL: https://urait.ru/bcode/559685</w:t>
      </w:r>
    </w:p>
    <w:p w14:paraId="3A248ACD" w14:textId="77777777" w:rsidR="006C3978" w:rsidRPr="006C3978" w:rsidRDefault="006C3978" w:rsidP="006C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6EDBF8E" w14:textId="77777777" w:rsidR="006C3978" w:rsidRPr="006C3978" w:rsidRDefault="006C3978" w:rsidP="006C39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6C39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9DA5F57" w14:textId="77777777" w:rsidR="006C3978" w:rsidRPr="006C3978" w:rsidRDefault="006C3978" w:rsidP="006C3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6C39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19883B4A" w14:textId="77777777" w:rsidR="006C3978" w:rsidRPr="006C3978" w:rsidRDefault="006C3978" w:rsidP="006C3978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6C39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6633BAB3" w14:textId="77777777" w:rsidR="00BB7C00" w:rsidRPr="006C3978" w:rsidRDefault="00BB7C00">
      <w:pPr>
        <w:rPr>
          <w:lang w:val="kk-KZ"/>
        </w:rPr>
      </w:pPr>
    </w:p>
    <w:sectPr w:rsidR="00BB7C00" w:rsidRPr="006C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2545"/>
    <w:multiLevelType w:val="hybridMultilevel"/>
    <w:tmpl w:val="972C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485317203">
    <w:abstractNumId w:val="0"/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01"/>
    <w:rsid w:val="001632AF"/>
    <w:rsid w:val="00216F01"/>
    <w:rsid w:val="00310446"/>
    <w:rsid w:val="003E6D87"/>
    <w:rsid w:val="003F31B9"/>
    <w:rsid w:val="006C3978"/>
    <w:rsid w:val="00BB7C00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C33C"/>
  <w15:chartTrackingRefBased/>
  <w15:docId w15:val="{2CF43E3E-45C5-44CF-9B79-5B82986F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C00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B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2025-07-29T14:05:00Z</dcterms:created>
  <dcterms:modified xsi:type="dcterms:W3CDTF">2025-07-30T05:04:00Z</dcterms:modified>
</cp:coreProperties>
</file>